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204" w:tblpY="1401"/>
        <w:tblOverlap w:val="never"/>
        <w:tblW w:w="9637" w:type="dxa"/>
        <w:tblInd w:w="0" w:type="dxa"/>
        <w:tblBorders>
          <w:top w:val="none" w:color="auto" w:sz="0" w:space="0"/>
          <w:left w:val="single" w:color="000000" w:sz="2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7"/>
        <w:gridCol w:w="4413"/>
        <w:gridCol w:w="4413"/>
        <w:gridCol w:w="444"/>
      </w:tblGrid>
      <w:tr w14:paraId="6BF642DA">
        <w:tblPrEx>
          <w:tblBorders>
            <w:top w:val="none" w:color="auto" w:sz="0" w:space="0"/>
            <w:left w:val="single" w:color="000000" w:sz="2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67" w:type="dxa"/>
          <w:wAfter w:w="444" w:type="dxa"/>
          <w:cantSplit/>
          <w:trHeight w:val="1247" w:hRule="atLeast"/>
        </w:trPr>
        <w:tc>
          <w:tcPr>
            <w:tcW w:w="8826" w:type="dxa"/>
            <w:gridSpan w:val="2"/>
            <w:tcBorders>
              <w:left w:val="nil"/>
            </w:tcBorders>
            <w:noWrap w:val="0"/>
            <w:vAlign w:val="bottom"/>
          </w:tcPr>
          <w:p w14:paraId="374D3665">
            <w:pPr>
              <w:adjustRightInd w:val="0"/>
              <w:snapToGrid w:val="0"/>
              <w:spacing w:line="118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FF0000"/>
                <w:sz w:val="111"/>
                <w:szCs w:val="111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FF0000"/>
                <w:spacing w:val="-34"/>
                <w:w w:val="98"/>
                <w:sz w:val="82"/>
                <w:szCs w:val="82"/>
                <w:lang w:eastAsia="zh-CN"/>
              </w:rPr>
              <w:t>黔东南州发展和改革委员会</w:t>
            </w:r>
          </w:p>
        </w:tc>
      </w:tr>
      <w:tr w14:paraId="5AA03843">
        <w:tblPrEx>
          <w:tblBorders>
            <w:top w:val="none" w:color="auto" w:sz="0" w:space="0"/>
            <w:left w:val="single" w:color="000000" w:sz="2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exact"/>
        </w:trPr>
        <w:tc>
          <w:tcPr>
            <w:tcW w:w="9637" w:type="dxa"/>
            <w:gridSpan w:val="4"/>
            <w:tcBorders>
              <w:left w:val="nil"/>
              <w:bottom w:val="thinThickSmallGap" w:color="FF0000" w:sz="24" w:space="0"/>
            </w:tcBorders>
            <w:noWrap w:val="0"/>
            <w:vAlign w:val="top"/>
          </w:tcPr>
          <w:p w14:paraId="2DDE4F46">
            <w:pPr>
              <w:rPr>
                <w:rFonts w:hint="eastAsia" w:ascii="仿宋_GB2312" w:hAnsi="仿宋_GB2312" w:cs="Times New Roman"/>
              </w:rPr>
            </w:pPr>
          </w:p>
        </w:tc>
      </w:tr>
      <w:tr w14:paraId="104CD586">
        <w:tblPrEx>
          <w:tblBorders>
            <w:top w:val="none" w:color="auto" w:sz="0" w:space="0"/>
            <w:left w:val="single" w:color="000000" w:sz="2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67" w:type="dxa"/>
          <w:wAfter w:w="444" w:type="dxa"/>
          <w:cantSplit/>
          <w:trHeight w:val="625" w:hRule="atLeast"/>
        </w:trPr>
        <w:tc>
          <w:tcPr>
            <w:tcW w:w="4413" w:type="dxa"/>
            <w:tcBorders>
              <w:left w:val="nil"/>
            </w:tcBorders>
            <w:noWrap w:val="0"/>
            <w:vAlign w:val="top"/>
          </w:tcPr>
          <w:p w14:paraId="537E0F0A">
            <w:pPr>
              <w:rPr>
                <w:rFonts w:hint="eastAsia" w:ascii="黑体" w:hAnsi="黑体" w:eastAsia="黑体" w:cs="Times New Roman"/>
              </w:rPr>
            </w:pPr>
          </w:p>
        </w:tc>
        <w:tc>
          <w:tcPr>
            <w:tcW w:w="4413" w:type="dxa"/>
            <w:tcBorders>
              <w:left w:val="nil"/>
            </w:tcBorders>
            <w:noWrap w:val="0"/>
            <w:vAlign w:val="top"/>
          </w:tcPr>
          <w:p w14:paraId="10C7E744">
            <w:pPr>
              <w:jc w:val="right"/>
              <w:rPr>
                <w:rFonts w:hint="eastAsia" w:ascii="仿宋_GB2312" w:hAnsi="仿宋_GB2312" w:cs="仿宋_GB2312"/>
              </w:rPr>
            </w:pPr>
          </w:p>
        </w:tc>
      </w:tr>
    </w:tbl>
    <w:p w14:paraId="23AD2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i w:val="0"/>
          <w:strike w:val="0"/>
          <w:dstrike w:val="0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strike w:val="0"/>
          <w:dstrike w:val="0"/>
          <w:spacing w:val="0"/>
          <w:sz w:val="44"/>
          <w:szCs w:val="44"/>
          <w:u w:val="none"/>
          <w:lang w:val="en-US" w:eastAsia="zh-CN"/>
        </w:rPr>
        <w:t>州发展改革委关于2025年水利水电工程库区</w:t>
      </w:r>
    </w:p>
    <w:p w14:paraId="156DB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i w:val="0"/>
          <w:strike w:val="0"/>
          <w:dstrike w:val="0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strike w:val="0"/>
          <w:dstrike w:val="0"/>
          <w:spacing w:val="0"/>
          <w:sz w:val="44"/>
          <w:szCs w:val="44"/>
          <w:u w:val="none"/>
          <w:lang w:val="en-US" w:eastAsia="zh-CN"/>
        </w:rPr>
        <w:t>建设征地移民补偿稻谷折价补偿标准</w:t>
      </w:r>
    </w:p>
    <w:p w14:paraId="3CEEB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i w:val="0"/>
          <w:strike w:val="0"/>
          <w:dstrike w:val="0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strike w:val="0"/>
          <w:dstrike w:val="0"/>
          <w:spacing w:val="0"/>
          <w:sz w:val="44"/>
          <w:szCs w:val="44"/>
          <w:u w:val="none"/>
          <w:lang w:val="en-US" w:eastAsia="zh-CN"/>
        </w:rPr>
        <w:t>测算及建议的复函</w:t>
      </w:r>
    </w:p>
    <w:p w14:paraId="2A4D788A">
      <w:pPr>
        <w:rPr>
          <w:rFonts w:hint="eastAsia" w:ascii="Times New Roman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</w:p>
    <w:p w14:paraId="4C4F18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rPr>
          <w:rFonts w:hint="eastAsia" w:ascii="Times New Roman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州生态移民局：</w:t>
      </w:r>
    </w:p>
    <w:p w14:paraId="613BB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《关于请求测算2025年水利水电工程库区建设征地移民长期补偿稻谷折价标准的函》收悉，按照相关要求，我委对2025年水利工程库区移民补偿稻谷折算标准进行了测算，现将测算依据及标准建议说明如下：</w:t>
      </w:r>
    </w:p>
    <w:p w14:paraId="6BE23B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一、测算依据</w:t>
      </w:r>
    </w:p>
    <w:p w14:paraId="5E6533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（一）为提高出售价格数据的代表性，通过对16个县（市）新产中晚籼稻市场价格进行调查，我州市场平均价格为1.42元/斤，较去年1.51元/斤小幅下跌6.33%。</w:t>
      </w:r>
    </w:p>
    <w:p w14:paraId="7E0175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（二）根据我州农产品成本调查数据，2025年9月镇远、黄平、黎平三个县中籼稻成本直报调查数据显示，每50公斤中籼稻平均出售价格为</w:t>
      </w: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color w:val="auto"/>
          <w:spacing w:val="0"/>
          <w:sz w:val="32"/>
          <w:szCs w:val="32"/>
          <w:u w:val="none"/>
          <w:lang w:val="en-US" w:eastAsia="zh-CN"/>
        </w:rPr>
        <w:t>142.63</w:t>
      </w: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元，折合为1.43元/斤。</w:t>
      </w:r>
    </w:p>
    <w:p w14:paraId="2629C1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（三）根据《国家发展改革委等部门关于公布2025年稻谷最低收购价格的通知》（发改价格〔2025〕308号），2025年全国中晚籼稻最低收购价格分别为每50公斤128元、129元，即1.28元/斤、1.29元/斤。今年中晚籼稻最低收购价格标准参照国家标准执行，省、州均未发布。</w:t>
      </w:r>
    </w:p>
    <w:p w14:paraId="2E2C2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二、标准建议</w:t>
      </w:r>
    </w:p>
    <w:p w14:paraId="29DF81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color w:val="auto"/>
          <w:spacing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highlight w:val="none"/>
          <w:u w:val="none"/>
          <w:lang w:val="en-US" w:eastAsia="zh-CN"/>
        </w:rPr>
        <w:t>根据我州实际，坚持以人民为中心的发展思想，综合上述测算依据，建议2025年水利工程库区移民补偿稻谷折算标准按照市场均价</w:t>
      </w:r>
      <w:r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每斤1.42元（即2.84元/公斤）执行，最终补偿价以州人民政府审定的为准。</w:t>
      </w:r>
    </w:p>
    <w:p w14:paraId="71099A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strike w:val="0"/>
          <w:dstrike w:val="0"/>
          <w:color w:val="auto"/>
          <w:spacing w:val="0"/>
          <w:sz w:val="32"/>
          <w:szCs w:val="32"/>
          <w:highlight w:val="none"/>
          <w:u w:val="none"/>
          <w:lang w:val="en-US" w:eastAsia="zh-CN"/>
        </w:rPr>
      </w:pPr>
    </w:p>
    <w:p w14:paraId="385720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24" w:leftChars="304" w:right="0" w:rightChars="0" w:hanging="1264" w:hangingChars="4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附件：1.2025年各县（市）中晚籼稻销售价格情况统计表</w:t>
      </w:r>
    </w:p>
    <w:p w14:paraId="615C7E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12" w:leftChars="600" w:right="0" w:rightChars="0" w:hanging="316" w:hanging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2.2025年黔东南自治州中籼稻直报调查-2024年黔东南自治州中籼稻直报调查-数据比较</w:t>
      </w:r>
    </w:p>
    <w:p w14:paraId="4CD2C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12" w:leftChars="600" w:right="0" w:rightChars="0" w:hanging="316" w:hangingChars="1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3.国家发展改革委等部门关于公布2025年稻谷最低收购价格的通知</w:t>
      </w:r>
    </w:p>
    <w:p w14:paraId="2A189C9F">
      <w:pPr>
        <w:rPr>
          <w:rFonts w:hint="eastAsia"/>
          <w:lang w:val="en-US" w:eastAsia="zh-CN"/>
        </w:rPr>
      </w:pPr>
    </w:p>
    <w:p w14:paraId="24F9C925">
      <w:pPr>
        <w:rPr>
          <w:rFonts w:hint="eastAsia"/>
          <w:lang w:val="en-US" w:eastAsia="zh-CN"/>
        </w:rPr>
      </w:pPr>
    </w:p>
    <w:p w14:paraId="0FAE0BCC">
      <w:pPr>
        <w:rPr>
          <w:rFonts w:hint="eastAsia"/>
          <w:lang w:val="en-US" w:eastAsia="zh-CN"/>
        </w:rPr>
      </w:pPr>
    </w:p>
    <w:p w14:paraId="02BBA0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594" w:rightChars="0" w:firstLine="0" w:firstLineChars="0"/>
        <w:jc w:val="right"/>
        <w:textAlignment w:val="auto"/>
        <w:outlineLvl w:val="9"/>
        <w:rPr>
          <w:rFonts w:hint="eastAsia" w:ascii="Times New Roman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仿宋_GB2312" w:eastAsia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黔东南州发展和改革委员会</w:t>
      </w:r>
    </w:p>
    <w:p w14:paraId="4F05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1264" w:rightChars="400" w:firstLine="0" w:firstLineChars="0"/>
        <w:jc w:val="right"/>
        <w:textAlignment w:val="auto"/>
        <w:outlineLvl w:val="9"/>
        <w:rPr>
          <w:rFonts w:hint="eastAsia" w:ascii="仿宋_GB2312" w:hAnsi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  <w:t>2025年9月28日</w:t>
      </w:r>
    </w:p>
    <w:p w14:paraId="20ED06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1264" w:rightChars="400" w:firstLine="0" w:firstLineChars="0"/>
        <w:jc w:val="right"/>
        <w:textAlignment w:val="auto"/>
        <w:outlineLvl w:val="9"/>
        <w:rPr>
          <w:rFonts w:hint="eastAsia" w:ascii="仿宋_GB2312" w:hAnsi="仿宋_GB2312" w:cs="仿宋_GB2312"/>
          <w:b w:val="0"/>
          <w:i w:val="0"/>
          <w:strike w:val="0"/>
          <w:dstrike w:val="0"/>
          <w:spacing w:val="0"/>
          <w:sz w:val="32"/>
          <w:szCs w:val="32"/>
          <w:u w:val="none"/>
          <w:lang w:val="en-US" w:eastAsia="zh-CN"/>
        </w:rPr>
      </w:pPr>
    </w:p>
    <w:p w14:paraId="191C4FD3"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1906" w:h="16838"/>
      <w:pgMar w:top="2098" w:right="1474" w:bottom="1984" w:left="1587" w:header="851" w:footer="964" w:gutter="0"/>
      <w:pgNumType w:fmt="decimal"/>
      <w:cols w:space="425" w:num="1"/>
      <w:titlePg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E0C27">
    <w:pPr>
      <w:widowControl w:val="0"/>
      <w:wordWrap w:val="0"/>
      <w:overflowPunct w:val="0"/>
      <w:autoSpaceDE w:val="0"/>
      <w:autoSpaceDN w:val="0"/>
      <w:adjustRightInd w:val="0"/>
      <w:spacing w:line="240" w:lineRule="auto"/>
      <w:ind w:right="320" w:rightChars="100"/>
      <w:jc w:val="right"/>
      <w:textAlignment w:val="baseline"/>
      <w:rPr>
        <w:rFonts w:hint="eastAsia" w:ascii="楷体_GB2312" w:hAnsi="Times New Roman" w:eastAsia="宋体" w:cs="Times New Roman"/>
        <w:kern w:val="2"/>
        <w:sz w:val="28"/>
        <w:szCs w:val="24"/>
        <w:lang w:val="en-US" w:eastAsia="zh-CN" w:bidi="ar-SA"/>
      </w:rPr>
    </w:pPr>
    <w:r>
      <w:rPr>
        <w:rFonts w:hint="eastAsia" w:ascii="宋体" w:hAnsi="宋体" w:eastAsia="宋体" w:cs="Times New Roman"/>
        <w:kern w:val="2"/>
        <w:sz w:val="28"/>
        <w:szCs w:val="24"/>
        <w:lang w:val="en-US" w:eastAsia="zh-CN" w:bidi="ar-SA"/>
      </w:rPr>
      <w:t xml:space="preserve">— </w: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fldChar w:fldCharType="begin"/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instrText xml:space="preserve"> PAGE </w:instrTex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fldChar w:fldCharType="separate"/>
    </w:r>
    <w:r>
      <w:rPr>
        <w:rFonts w:hint="default" w:ascii="宋体" w:hAnsi="宋体" w:eastAsia="宋体" w:cs="宋体"/>
        <w:kern w:val="2"/>
        <w:sz w:val="28"/>
        <w:szCs w:val="24"/>
        <w:lang w:val="en-US" w:eastAsia="zh-CN" w:bidi="ar-SA"/>
      </w:rPr>
      <w:t>3</w: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fldChar w:fldCharType="end"/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t xml:space="preserve"> </w:t>
    </w:r>
    <w:r>
      <w:rPr>
        <w:rFonts w:hint="eastAsia" w:ascii="宋体" w:hAnsi="宋体" w:eastAsia="宋体" w:cs="Times New Roman"/>
        <w:kern w:val="2"/>
        <w:sz w:val="28"/>
        <w:szCs w:val="24"/>
        <w:lang w:val="en-US" w:eastAsia="zh-CN" w:bidi="ar-SA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3960B">
    <w:pPr>
      <w:widowControl w:val="0"/>
      <w:overflowPunct w:val="0"/>
      <w:autoSpaceDE w:val="0"/>
      <w:autoSpaceDN w:val="0"/>
      <w:adjustRightInd w:val="0"/>
      <w:spacing w:line="240" w:lineRule="auto"/>
      <w:ind w:firstLine="280" w:firstLineChars="100"/>
      <w:jc w:val="left"/>
      <w:textAlignment w:val="baseline"/>
      <w:rPr>
        <w:rFonts w:hint="eastAsia" w:ascii="宋体" w:hAnsi="宋体" w:eastAsia="宋体" w:cs="Times New Roman"/>
        <w:kern w:val="2"/>
        <w:sz w:val="28"/>
        <w:szCs w:val="24"/>
        <w:lang w:val="en-US" w:eastAsia="zh-CN" w:bidi="ar-SA"/>
      </w:rPr>
    </w:pPr>
    <w:r>
      <w:rPr>
        <w:rFonts w:hint="eastAsia" w:ascii="宋体" w:hAnsi="宋体" w:eastAsia="宋体" w:cs="Times New Roman"/>
        <w:kern w:val="2"/>
        <w:sz w:val="28"/>
        <w:szCs w:val="24"/>
        <w:lang w:val="en-US" w:eastAsia="zh-CN" w:bidi="ar-SA"/>
      </w:rPr>
      <w:t>—</w: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t xml:space="preserve"> </w: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fldChar w:fldCharType="begin"/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instrText xml:space="preserve"> PAGE </w:instrTex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fldChar w:fldCharType="separate"/>
    </w:r>
    <w:r>
      <w:rPr>
        <w:rFonts w:hint="default" w:ascii="宋体" w:hAnsi="宋体" w:eastAsia="宋体" w:cs="宋体"/>
        <w:kern w:val="2"/>
        <w:sz w:val="28"/>
        <w:szCs w:val="24"/>
        <w:lang w:val="en-US" w:eastAsia="zh-CN" w:bidi="ar-SA"/>
      </w:rPr>
      <w:t>2</w:t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fldChar w:fldCharType="end"/>
    </w:r>
    <w:r>
      <w:rPr>
        <w:rFonts w:hint="eastAsia" w:ascii="宋体" w:hAnsi="宋体" w:eastAsia="宋体" w:cs="宋体"/>
        <w:kern w:val="2"/>
        <w:sz w:val="28"/>
        <w:szCs w:val="24"/>
        <w:lang w:val="en-US" w:eastAsia="zh-CN" w:bidi="ar-SA"/>
      </w:rPr>
      <w:t xml:space="preserve"> </w:t>
    </w:r>
    <w:r>
      <w:rPr>
        <w:rFonts w:hint="eastAsia" w:ascii="宋体" w:hAnsi="宋体" w:eastAsia="宋体" w:cs="Times New Roman"/>
        <w:kern w:val="2"/>
        <w:sz w:val="28"/>
        <w:szCs w:val="24"/>
        <w:lang w:val="en-US" w:eastAsia="zh-CN" w:bidi="ar-SA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"/>
      <w:tblpPr w:leftFromText="180" w:rightFromText="180" w:vertAnchor="page" w:horzAnchor="page" w:tblpX="1296" w:tblpY="15494"/>
      <w:tblOverlap w:val="never"/>
      <w:tblW w:w="0" w:type="auto"/>
      <w:tblInd w:w="0" w:type="dxa"/>
      <w:tblBorders>
        <w:top w:val="single" w:color="FF0000" w:sz="2" w:space="0"/>
        <w:left w:val="none" w:color="auto" w:sz="0" w:space="0"/>
        <w:bottom w:val="single" w:color="FF0000" w:sz="18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638"/>
    </w:tblGrid>
    <w:tr w14:paraId="1B85DDA4">
      <w:tblPrEx>
        <w:tblBorders>
          <w:top w:val="single" w:color="FF0000" w:sz="2" w:space="0"/>
          <w:left w:val="none" w:color="auto" w:sz="0" w:space="0"/>
          <w:bottom w:val="single" w:color="FF0000" w:sz="18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91" w:hRule="exact"/>
      </w:trPr>
      <w:tc>
        <w:tcPr>
          <w:tcW w:w="9638" w:type="dxa"/>
          <w:tcBorders>
            <w:top w:val="nil"/>
            <w:bottom w:val="thickThinSmallGap" w:color="FF0000" w:sz="24" w:space="0"/>
          </w:tcBorders>
          <w:noWrap w:val="0"/>
          <w:vAlign w:val="top"/>
        </w:tcPr>
        <w:p w14:paraId="68054E06">
          <w:pPr>
            <w:widowControl w:val="0"/>
            <w:overflowPunct w:val="0"/>
            <w:autoSpaceDE w:val="0"/>
            <w:autoSpaceDN w:val="0"/>
            <w:adjustRightInd w:val="0"/>
            <w:spacing w:line="200" w:lineRule="exact"/>
            <w:jc w:val="both"/>
            <w:textAlignment w:val="baseline"/>
            <w:rPr>
              <w:rFonts w:hint="default" w:ascii="Times New Roman" w:hAnsi="Times New Roman" w:eastAsia="仿宋_GB2312" w:cs="Times New Roman"/>
              <w:kern w:val="2"/>
              <w:sz w:val="10"/>
              <w:szCs w:val="10"/>
              <w:lang w:val="en-US" w:eastAsia="zh-CN" w:bidi="ar-SA"/>
            </w:rPr>
          </w:pPr>
        </w:p>
      </w:tc>
    </w:tr>
  </w:tbl>
  <w:p w14:paraId="3CC33812">
    <w:pPr>
      <w:widowControl w:val="0"/>
      <w:overflowPunct w:val="0"/>
      <w:autoSpaceDE w:val="0"/>
      <w:autoSpaceDN w:val="0"/>
      <w:adjustRightInd w:val="0"/>
      <w:spacing w:line="240" w:lineRule="atLeast"/>
      <w:jc w:val="both"/>
      <w:textAlignment w:val="baseline"/>
      <w:rPr>
        <w:rFonts w:hint="default" w:ascii="Times New Roman" w:hAnsi="Times New Roman" w:eastAsia="仿宋_GB2312" w:cs="Times New Roman"/>
        <w:kern w:val="2"/>
        <w:sz w:val="20"/>
        <w:szCs w:val="24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6C36"/>
    <w:rsid w:val="01E13C7E"/>
    <w:rsid w:val="01E422A9"/>
    <w:rsid w:val="04757D3A"/>
    <w:rsid w:val="07C80354"/>
    <w:rsid w:val="07F67A7B"/>
    <w:rsid w:val="095814B3"/>
    <w:rsid w:val="09A539EE"/>
    <w:rsid w:val="0A1D23A7"/>
    <w:rsid w:val="0CB4600A"/>
    <w:rsid w:val="10655F2F"/>
    <w:rsid w:val="152E5828"/>
    <w:rsid w:val="196B31CF"/>
    <w:rsid w:val="19CE1A4B"/>
    <w:rsid w:val="1A926472"/>
    <w:rsid w:val="213C65FB"/>
    <w:rsid w:val="216E17AC"/>
    <w:rsid w:val="21F82F85"/>
    <w:rsid w:val="222338E1"/>
    <w:rsid w:val="24621917"/>
    <w:rsid w:val="255C677A"/>
    <w:rsid w:val="25C13F80"/>
    <w:rsid w:val="26AB3A1D"/>
    <w:rsid w:val="27F91746"/>
    <w:rsid w:val="288521FC"/>
    <w:rsid w:val="28893EEF"/>
    <w:rsid w:val="29B26272"/>
    <w:rsid w:val="2A957B55"/>
    <w:rsid w:val="2CD87241"/>
    <w:rsid w:val="30231714"/>
    <w:rsid w:val="320E3CA8"/>
    <w:rsid w:val="3296713F"/>
    <w:rsid w:val="334648FC"/>
    <w:rsid w:val="3482483B"/>
    <w:rsid w:val="3B303C99"/>
    <w:rsid w:val="3DEC4680"/>
    <w:rsid w:val="41B23563"/>
    <w:rsid w:val="42BC58C7"/>
    <w:rsid w:val="42F57F23"/>
    <w:rsid w:val="44FC5146"/>
    <w:rsid w:val="4517516F"/>
    <w:rsid w:val="466940B5"/>
    <w:rsid w:val="47A47454"/>
    <w:rsid w:val="4AE77A8A"/>
    <w:rsid w:val="4C2E51B7"/>
    <w:rsid w:val="4C991B9A"/>
    <w:rsid w:val="4FCB2D95"/>
    <w:rsid w:val="55CA5C21"/>
    <w:rsid w:val="56A30712"/>
    <w:rsid w:val="596B45EA"/>
    <w:rsid w:val="5A862B22"/>
    <w:rsid w:val="616D4E45"/>
    <w:rsid w:val="6442546D"/>
    <w:rsid w:val="64465C48"/>
    <w:rsid w:val="65F36143"/>
    <w:rsid w:val="673B69AC"/>
    <w:rsid w:val="6A8C1352"/>
    <w:rsid w:val="6AEC191E"/>
    <w:rsid w:val="6DDD7484"/>
    <w:rsid w:val="6FAE2F98"/>
    <w:rsid w:val="6FB92CCA"/>
    <w:rsid w:val="708C7E89"/>
    <w:rsid w:val="71345891"/>
    <w:rsid w:val="72A32A6C"/>
    <w:rsid w:val="7471056A"/>
    <w:rsid w:val="74A55E83"/>
    <w:rsid w:val="76090E22"/>
    <w:rsid w:val="76CB1F99"/>
    <w:rsid w:val="79705816"/>
    <w:rsid w:val="7A9C494F"/>
    <w:rsid w:val="7DD06D40"/>
    <w:rsid w:val="F4E6A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仿宋_GB2312" w:cs="仿宋_GB2312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682</Characters>
  <Lines>0</Lines>
  <Paragraphs>0</Paragraphs>
  <TotalTime>1</TotalTime>
  <ScaleCrop>false</ScaleCrop>
  <LinksUpToDate>false</LinksUpToDate>
  <CharactersWithSpaces>739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cp:lastPrinted>2021-11-01T15:38:00Z</cp:lastPrinted>
  <dcterms:modified xsi:type="dcterms:W3CDTF">2025-09-28T08:12:15Z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71CF5192D72144C995A5136D3E157EF4</vt:lpwstr>
  </property>
  <property fmtid="{D5CDD505-2E9C-101B-9397-08002B2CF9AE}" pid="4" name="KSOTemplateDocerSaveRecord">
    <vt:lpwstr>eyJoZGlkIjoiMTJiODUyZmQxZTU5NGY1ZjIzNmM4NzhlOWE5MDYwNzciLCJ1c2VySWQiOiI2OTAzNDIwNjgifQ==</vt:lpwstr>
  </property>
</Properties>
</file>